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600" w:lineRule="exact"/>
        <w:ind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广东省民航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行业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2016年度碳排放配额分配方案</w:t>
      </w:r>
    </w:p>
    <w:p>
      <w:pPr>
        <w:adjustRightInd w:val="0"/>
        <w:snapToGrid w:val="0"/>
        <w:spacing w:line="600" w:lineRule="exact"/>
        <w:ind w:firstLine="460" w:firstLineChars="200"/>
        <w:rPr>
          <w:rFonts w:hint="default" w:ascii="Times New Roman" w:hAnsi="Times New Roman" w:eastAsia="方正仿宋简体" w:cs="Times New Roman"/>
          <w:color w:val="333333"/>
          <w:sz w:val="23"/>
          <w:szCs w:val="2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一、纳入碳排放管理和交易的企业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省行政区域内（深圳市除外，下同）民用航空行业年排放2万吨二氧化碳（或年综合能源消费量1万吨标准煤）及以上的企业，共4家，名单详见下表，对名单按照有关规定实行动态管理。</w:t>
      </w:r>
    </w:p>
    <w:tbl>
      <w:tblPr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6"/>
        <w:gridCol w:w="4003"/>
        <w:gridCol w:w="2321"/>
        <w:gridCol w:w="1648"/>
      </w:tblGrid>
      <w:tr>
        <w:trPr>
          <w:trHeight w:val="454" w:hRule="atLeast"/>
          <w:jc w:val="center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序号</w:t>
            </w:r>
          </w:p>
        </w:tc>
        <w:tc>
          <w:tcPr>
            <w:tcW w:w="4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企业名称</w:t>
            </w:r>
          </w:p>
        </w:tc>
        <w:tc>
          <w:tcPr>
            <w:tcW w:w="2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组织机构代码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行业代码</w:t>
            </w:r>
          </w:p>
        </w:tc>
      </w:tr>
      <w:tr>
        <w:trPr>
          <w:trHeight w:val="454" w:hRule="atLeast"/>
          <w:jc w:val="center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中国南方航空股份有限公司</w:t>
            </w:r>
          </w:p>
        </w:tc>
        <w:tc>
          <w:tcPr>
            <w:tcW w:w="2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100017600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5611</w:t>
            </w:r>
          </w:p>
        </w:tc>
      </w:tr>
      <w:tr>
        <w:trPr>
          <w:trHeight w:val="454" w:hRule="atLeast"/>
          <w:jc w:val="center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珠海航空有限公司</w:t>
            </w:r>
          </w:p>
        </w:tc>
        <w:tc>
          <w:tcPr>
            <w:tcW w:w="2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192591625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5611</w:t>
            </w:r>
          </w:p>
        </w:tc>
      </w:tr>
      <w:tr>
        <w:trPr>
          <w:trHeight w:val="454" w:hRule="atLeast"/>
          <w:jc w:val="center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汕头航空有限公司</w:t>
            </w:r>
          </w:p>
        </w:tc>
        <w:tc>
          <w:tcPr>
            <w:tcW w:w="2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279795735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5611</w:t>
            </w:r>
          </w:p>
        </w:tc>
      </w:tr>
      <w:tr>
        <w:trPr>
          <w:trHeight w:val="454" w:hRule="atLeast"/>
          <w:jc w:val="center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九元航空有限公司</w:t>
            </w:r>
          </w:p>
        </w:tc>
        <w:tc>
          <w:tcPr>
            <w:tcW w:w="2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093652007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5611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二、配额总量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省2016年及“十三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五”控制温室气体排放总体目标、合理控制能源消费总量目标，结合国家和省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产业政策、行业规划和经济发展形势预测，确定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我省民航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行业2016年度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碳排放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配额总量为1200万吨，其中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控排企业配额114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万吨，储备配额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三、配额分配方法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用航空企业采用基准线法分配配额，先按照2015年各机型大类运输周转量计算及发放预配额，再根据经核查核定的2016年实际各机型运输周转量计算及发放最终配额，并与发放的预配额进行比较，多退少补。企业配额实行部分免费发放和部分有偿发放，其中免费发放配额的比例为97%；有偿配额则以公开竞价形式在省级交易平台定期发放，企业可自主决定是否购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企业配额计算公式如下：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企业配额=</w:t>
      </w:r>
      <w:r>
        <w:rPr>
          <w:rFonts w:hint="default" w:ascii="Times New Roman" w:hAnsi="Times New Roman" w:eastAsia="方正仿宋简体" w:cs="Times New Roman"/>
          <w:kern w:val="2"/>
          <w:position w:val="-14"/>
          <w:sz w:val="32"/>
          <w:szCs w:val="32"/>
          <w:lang w:val="en-US" w:eastAsia="zh-CN" w:bidi="ar-SA"/>
        </w:rPr>
        <w:object>
          <v:shape id="_x0000_s1025" type="#_x0000_t75" style="height:29.5pt;width:49pt;rotation:0f;" o:ole="t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25" DrawAspect="Content" ObjectID="_1025" r:id="rId5"/>
        </w:objec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（各机型运输周转量×各机型基准值）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i：机型大类；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运输周转量：指企业该机型大类每年运载的旅客周转量、货物周转量和邮件周转量之和，单位：万吨·公里；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基准值按机型分列如下：</w:t>
      </w:r>
    </w:p>
    <w:tbl>
      <w:tblPr>
        <w:tblW w:w="8948" w:type="dxa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43"/>
        <w:gridCol w:w="2218"/>
        <w:gridCol w:w="1701"/>
        <w:gridCol w:w="1965"/>
        <w:gridCol w:w="2021"/>
      </w:tblGrid>
      <w:tr>
        <w:trPr>
          <w:trHeight w:val="454" w:hRule="atLeast"/>
          <w:tblHeader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24"/>
                <w:sz w:val="24"/>
                <w:szCs w:val="28"/>
              </w:rPr>
              <w:t>机型大类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24"/>
                <w:sz w:val="24"/>
                <w:szCs w:val="28"/>
              </w:rPr>
              <w:t>定义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24"/>
                <w:sz w:val="24"/>
                <w:szCs w:val="28"/>
              </w:rPr>
              <w:t>包含的机型（例）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24"/>
                <w:sz w:val="24"/>
                <w:szCs w:val="28"/>
              </w:rPr>
              <w:t>包含的机型子类（例）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8"/>
              </w:rPr>
              <w:t>基准值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8"/>
              </w:rPr>
              <w:t>（tCO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8"/>
              </w:rPr>
              <w:t>/10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8"/>
                <w:vertAlign w:val="superscript"/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8"/>
              </w:rPr>
              <w:t>t·km）</w:t>
            </w:r>
          </w:p>
        </w:tc>
      </w:tr>
      <w:tr>
        <w:trPr>
          <w:trHeight w:val="454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宽体客机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符合《大型飞机公共航空运输承运人运行合格审定规则》（CCAR-121-R4，下同）运行规范的双通道客机。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B787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B787-800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10.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  <w:lang w:val="en-US" w:eastAsia="zh-CN"/>
              </w:rPr>
              <w:t>40</w:t>
            </w: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A330-200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A330-300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B777-200B</w:t>
            </w: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B777-200A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B777-300ER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A380-800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窄体客机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符合CCAR-121-R4运行规范的100座及以上的单通道客机。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B737-700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10.82</w:t>
            </w: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A319-100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B737-800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B737-300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A320-200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A320neo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A321-200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B757-200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支线客机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符合CCAR-121-R4运行规范的100座以下的单通道客机。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EM4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EMB145-LR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15.25</w:t>
            </w: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EM9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ERJ190-100LR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全货机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符合CCAR-121-R4运行规范的货机。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B777-200F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5.06</w:t>
            </w:r>
          </w:p>
        </w:tc>
      </w:tr>
      <w:tr>
        <w:trPr>
          <w:trHeight w:val="45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  <w:t>B747-400F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4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560" w:firstLineChars="200"/>
        <w:rPr>
          <w:rFonts w:hint="default" w:ascii="Times New Roman" w:hAnsi="Times New Roman" w:eastAsia="方正楷体简体" w:cs="Times New Roman"/>
          <w:sz w:val="28"/>
          <w:szCs w:val="32"/>
        </w:rPr>
      </w:pPr>
      <w:r>
        <w:rPr>
          <w:rFonts w:hint="default" w:ascii="Times New Roman" w:hAnsi="Times New Roman" w:eastAsia="方正楷体简体" w:cs="Times New Roman"/>
          <w:sz w:val="28"/>
          <w:szCs w:val="32"/>
        </w:rPr>
        <w:t>备注：企业未来新购买的新机型严格按照定义进行归类。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四、其他说明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航空企业关于碳排放监测计划制订、配额核定和调整、碳排放信息报告与核查、配额清缴履约以及使用自愿减排量抵消实际排放等事宜，均按照《广东省碳排放管理试行办法》、《广东省发展改革委关于企业碳排放信息报告与核查的实施细则》、《广东省发展改革委关于碳排放配额管理的实施细则》、《广东省2016年度碳排放配额分配实施方案》的有关规定执行。</w:t>
      </w:r>
    </w:p>
    <w:sectPr>
      <w:pgSz w:w="11906" w:h="16838"/>
      <w:pgMar w:top="1814" w:right="1361" w:bottom="1247" w:left="1588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altName w:val="Palatino Linotype"/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kern w:val="2"/>
      <w:sz w:val="18"/>
      <w:szCs w:val="18"/>
    </w:rPr>
  </w:style>
  <w:style w:type="paragraph" w:styleId="3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kern w:val="2"/>
      <w:sz w:val="18"/>
      <w:szCs w:val="18"/>
    </w:rPr>
  </w:style>
  <w:style w:type="character" w:customStyle="1" w:styleId="5">
    <w:name w:val="页眉 字符"/>
    <w:basedOn w:val="4"/>
    <w:link w:val="3"/>
    <w:semiHidden/>
    <w:rPr>
      <w:rFonts w:ascii="等线" w:hAnsi="等线" w:eastAsia="等线" w:cs="黑体"/>
      <w:kern w:val="2"/>
      <w:sz w:val="18"/>
      <w:szCs w:val="18"/>
    </w:rPr>
  </w:style>
  <w:style w:type="character" w:customStyle="1" w:styleId="6">
    <w:name w:val="页脚 字符"/>
    <w:basedOn w:val="4"/>
    <w:link w:val="2"/>
    <w:semiHidden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oleObject" Target="embeddings/oleObject1.bin"/><Relationship Id="rId6" Type="http://schemas.openxmlformats.org/officeDocument/2006/relationships/image" Target="media/image1.wmf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1334</Characters>
  <Lines>11</Lines>
  <Paragraphs>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2016-12-21T19:44:00Z</dcterms:created>
  <dc:creator>Andrew Lai</dc:creator>
  <dcterms:modified xsi:type="dcterms:W3CDTF">2017-01-03T10:08:36Z</dcterms:modified>
  <dc:title>Andrew Lai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MTWinEqns">
    <vt:bool>true</vt:bool>
  </property>
</Properties>
</file>